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CD" w:rsidRPr="004807EA" w:rsidRDefault="006411CD" w:rsidP="006411CD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bookmarkStart w:id="0" w:name="_GoBack"/>
      <w:bookmarkEnd w:id="0"/>
      <w:r w:rsidRPr="004807EA">
        <w:rPr>
          <w:rFonts w:ascii="Times New Roman" w:hAnsi="Times New Roman" w:cs="Times New Roman"/>
          <w:sz w:val="28"/>
        </w:rPr>
        <w:t>Паспорт</w:t>
      </w:r>
    </w:p>
    <w:p w:rsidR="006411CD" w:rsidRPr="004807EA" w:rsidRDefault="006411CD" w:rsidP="006411CD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государственной программы Ханты-Мансийского</w:t>
      </w:r>
    </w:p>
    <w:p w:rsidR="006411CD" w:rsidRPr="004807EA" w:rsidRDefault="006411CD" w:rsidP="006411CD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автономного округа - Югры "</w:t>
      </w:r>
      <w:r>
        <w:rPr>
          <w:rFonts w:ascii="Times New Roman" w:hAnsi="Times New Roman" w:cs="Times New Roman"/>
          <w:sz w:val="28"/>
        </w:rPr>
        <w:t>Культурное пространство"</w:t>
      </w:r>
    </w:p>
    <w:p w:rsidR="006411CD" w:rsidRDefault="006411CD" w:rsidP="006411CD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4807EA">
        <w:rPr>
          <w:rFonts w:ascii="Times New Roman" w:hAnsi="Times New Roman" w:cs="Times New Roman"/>
          <w:sz w:val="28"/>
        </w:rPr>
        <w:t>(далее - государственная программа)</w:t>
      </w:r>
    </w:p>
    <w:p w:rsidR="005C484F" w:rsidRPr="004807EA" w:rsidRDefault="005C484F" w:rsidP="006411CD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W w:w="964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8"/>
        <w:gridCol w:w="6662"/>
      </w:tblGrid>
      <w:tr w:rsidR="0028550A" w:rsidRPr="0028550A" w:rsidTr="005C484F">
        <w:tc>
          <w:tcPr>
            <w:tcW w:w="2978" w:type="dxa"/>
          </w:tcPr>
          <w:p w:rsidR="00F83493" w:rsidRPr="0028550A" w:rsidRDefault="00F83493" w:rsidP="005C484F">
            <w:pPr>
              <w:pStyle w:val="ConsPlusNormal"/>
              <w:jc w:val="center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Наименование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5C484F">
            <w:pPr>
              <w:pStyle w:val="ConsPlusNormal"/>
              <w:jc w:val="center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Культурное пространство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постановление Правительства Ханты-Мансийского автономного округа - Югры (далее - автономный округ) от 5 октября 2018 года N 341-п "О государственной программе Ханты-Мансийского автономного округа - Югры "Культурное пространство"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Ответственный исполнитель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Департамент культуры автономного округа (далее также - </w:t>
            </w:r>
            <w:proofErr w:type="spellStart"/>
            <w:r w:rsidRPr="0028550A">
              <w:rPr>
                <w:color w:val="000000" w:themeColor="text1"/>
              </w:rPr>
              <w:t>Депкультуры</w:t>
            </w:r>
            <w:proofErr w:type="spellEnd"/>
            <w:r w:rsidRPr="0028550A">
              <w:rPr>
                <w:color w:val="000000" w:themeColor="text1"/>
              </w:rPr>
              <w:t xml:space="preserve"> Югры)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Соисполнители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Департамент строительства автономного округа (далее также - </w:t>
            </w:r>
            <w:proofErr w:type="spellStart"/>
            <w:r w:rsidRPr="0028550A">
              <w:rPr>
                <w:color w:val="000000" w:themeColor="text1"/>
              </w:rPr>
              <w:t>Депстрой</w:t>
            </w:r>
            <w:proofErr w:type="spellEnd"/>
            <w:r w:rsidRPr="0028550A">
              <w:rPr>
                <w:color w:val="000000" w:themeColor="text1"/>
              </w:rPr>
              <w:t xml:space="preserve"> Югры),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Аппарат Губернатора автономного округа (далее также - Аппарат Губернатора Югры),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Служба по делам архивов автономного округа (далее также - Архивная служба Югры),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Служба государственной охраны объектов культурного наследия автономного округа (далее также - </w:t>
            </w:r>
            <w:proofErr w:type="spellStart"/>
            <w:r w:rsidRPr="0028550A">
              <w:rPr>
                <w:color w:val="000000" w:themeColor="text1"/>
              </w:rPr>
              <w:t>Госкультохрана</w:t>
            </w:r>
            <w:proofErr w:type="spellEnd"/>
            <w:r w:rsidRPr="0028550A">
              <w:rPr>
                <w:color w:val="000000" w:themeColor="text1"/>
              </w:rPr>
              <w:t xml:space="preserve"> Югры)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Цель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укрепление единого культурного пространства автономного округа, создание комфортных условий и равных возможностей доступа населения к культурным ценностям, цифровым ресурсам, самореализации и раскрытия таланта каждого жителя автономного округа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Задачи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Задача 1. Повышение качества услуг в сфере культуры путем модернизации имущественного комплекса учреждений и организаций культуры.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Задача 2. Создание равной доступности для населения к знаниям, информации и культурным ценностям, реализации каждым человеком его творческого потенциала.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Задача 3. Совершенствование системы управления сферы культуры, архивного дела и историко-культурного наследия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Подпрограммы</w:t>
            </w:r>
          </w:p>
        </w:tc>
        <w:tc>
          <w:tcPr>
            <w:tcW w:w="6662" w:type="dxa"/>
          </w:tcPr>
          <w:p w:rsidR="00F83493" w:rsidRPr="0028550A" w:rsidRDefault="00BD0F10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367" w:tooltip="Подпрограмма I. Модернизация и развитие учреждений и организаций культуры" w:history="1">
              <w:r w:rsidR="00F83493" w:rsidRPr="0028550A">
                <w:rPr>
                  <w:color w:val="000000" w:themeColor="text1"/>
                </w:rPr>
                <w:t>Подпрограмма I</w:t>
              </w:r>
            </w:hyperlink>
            <w:r w:rsidR="00F83493" w:rsidRPr="0028550A">
              <w:rPr>
                <w:color w:val="000000" w:themeColor="text1"/>
              </w:rPr>
              <w:t>. Модернизация и развитие учреждений и организаций культуры.</w:t>
            </w:r>
          </w:p>
          <w:p w:rsidR="00F83493" w:rsidRPr="0028550A" w:rsidRDefault="00BD0F10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947" w:tooltip="Подпрограмма II. Поддержка творческих инициатив, способствующих самореализации населения" w:history="1">
              <w:r w:rsidR="00F83493" w:rsidRPr="0028550A">
                <w:rPr>
                  <w:color w:val="000000" w:themeColor="text1"/>
                </w:rPr>
                <w:t>Подпрограмма II</w:t>
              </w:r>
            </w:hyperlink>
            <w:r w:rsidR="00F83493" w:rsidRPr="0028550A">
              <w:rPr>
                <w:color w:val="000000" w:themeColor="text1"/>
              </w:rPr>
              <w:t>. Поддержка творческих инициатив, способствующих самореализации населения.</w:t>
            </w:r>
          </w:p>
          <w:p w:rsidR="00F83493" w:rsidRPr="0028550A" w:rsidRDefault="00BD0F10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hyperlink w:anchor="Par1272" w:tooltip="Подпрограмма III. Организационные, экономические механизмы развития культуры, архивного дела и историко-культурного наследия" w:history="1">
              <w:r w:rsidR="00F83493" w:rsidRPr="0028550A">
                <w:rPr>
                  <w:color w:val="000000" w:themeColor="text1"/>
                </w:rPr>
                <w:t>Подпрограмма III</w:t>
              </w:r>
            </w:hyperlink>
            <w:r w:rsidR="00F83493" w:rsidRPr="0028550A">
              <w:rPr>
                <w:color w:val="000000" w:themeColor="text1"/>
              </w:rPr>
              <w:t xml:space="preserve">. Организационные, </w:t>
            </w:r>
            <w:proofErr w:type="gramStart"/>
            <w:r w:rsidR="00F83493" w:rsidRPr="0028550A">
              <w:rPr>
                <w:color w:val="000000" w:themeColor="text1"/>
              </w:rPr>
              <w:t>экономические механизмы</w:t>
            </w:r>
            <w:proofErr w:type="gramEnd"/>
            <w:r w:rsidR="00F83493" w:rsidRPr="0028550A">
              <w:rPr>
                <w:color w:val="000000" w:themeColor="text1"/>
              </w:rPr>
              <w:t xml:space="preserve"> развития культуры, архивного дела и историко-</w:t>
            </w:r>
            <w:r w:rsidR="00F83493" w:rsidRPr="0028550A">
              <w:rPr>
                <w:color w:val="000000" w:themeColor="text1"/>
              </w:rPr>
              <w:lastRenderedPageBreak/>
              <w:t>культурного наследия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lastRenderedPageBreak/>
              <w:t>Портфели проектов, проекты</w:t>
            </w:r>
          </w:p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автономного округа, входящие</w:t>
            </w:r>
          </w:p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Портфель проектов "Культура" – 1256087,5 тыс. рублей, в том числе: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региональный проект "Культурная среда" - 888 395,5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региональный проект "Творческие люди" – 358 192,0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региональный проект "Цифровая культура" – 9 500,0 тыс. рублей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Целевые показатели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1. Увеличение числа посещений организаций культуры на 15,0% к базовому значению.</w:t>
            </w:r>
          </w:p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2. Увеличение числа обращений к цифровым ресурсам в сфере культуры в 5 раз к базовому значению.</w:t>
            </w:r>
          </w:p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3. Увеличение средней численности пользователей архивной информацией с 350 до 510 человек на 10 тыс. человек населения.</w:t>
            </w:r>
          </w:p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4. Увеличение числа обращений к цифровым ресурсам архивов на 28% к базовому значению.</w:t>
            </w:r>
          </w:p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5. Увеличение доли негосударственных, в том числе некоммерческих, организаций, предоставляющих услуги в сфере культуры, в общем числе организаций, предоставляющих услуги в сфере культуры, на уровне до 26%.</w:t>
            </w:r>
          </w:p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6. Увеличение доли граждан, получивших услуги в негосударственных, в том числе некоммерческих, организациях, в общем числе граждан, получивших услуги в сфере культуры, до 6%.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Сроки реализации государственной программы (разрабатывается на срок от трех лет)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2019 - 2025 годы и на период до 2030 года</w:t>
            </w:r>
          </w:p>
        </w:tc>
      </w:tr>
      <w:tr w:rsidR="0028550A" w:rsidRPr="0028550A" w:rsidTr="005C484F">
        <w:tc>
          <w:tcPr>
            <w:tcW w:w="2978" w:type="dxa"/>
          </w:tcPr>
          <w:p w:rsidR="00F83493" w:rsidRPr="0028550A" w:rsidRDefault="00F83493" w:rsidP="00BA3F48">
            <w:pPr>
              <w:pStyle w:val="ConsPlusNormal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Параметры финансового обеспечения государственной программы</w:t>
            </w:r>
          </w:p>
        </w:tc>
        <w:tc>
          <w:tcPr>
            <w:tcW w:w="6662" w:type="dxa"/>
          </w:tcPr>
          <w:p w:rsidR="00F83493" w:rsidRPr="0028550A" w:rsidRDefault="00F83493" w:rsidP="00744A87">
            <w:pPr>
              <w:pStyle w:val="ConsPlusNormal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общий объем финансирования государственной программы составляет </w:t>
            </w:r>
            <w:r w:rsidR="00082ED2" w:rsidRPr="0028550A">
              <w:rPr>
                <w:color w:val="000000" w:themeColor="text1"/>
              </w:rPr>
              <w:t>32 357 659,2</w:t>
            </w:r>
            <w:r w:rsidRPr="0028550A">
              <w:rPr>
                <w:color w:val="000000" w:themeColor="text1"/>
              </w:rPr>
              <w:t xml:space="preserve"> тыс. рублей, в том числе </w:t>
            </w:r>
            <w:proofErr w:type="gramStart"/>
            <w:r w:rsidRPr="0028550A">
              <w:rPr>
                <w:color w:val="000000" w:themeColor="text1"/>
              </w:rPr>
              <w:t>в</w:t>
            </w:r>
            <w:proofErr w:type="gramEnd"/>
            <w:r w:rsidRPr="0028550A">
              <w:rPr>
                <w:color w:val="000000" w:themeColor="text1"/>
              </w:rPr>
              <w:t>: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2019 году – 3 105 019,7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2020 году – 2 938 175,2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2021 году – 3 108 809,9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2022 году – 2 983 384,0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2023 году – 2 570 222,1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>2024 году – 2 570 222,1 тыс. рублей;</w:t>
            </w:r>
          </w:p>
          <w:p w:rsidR="00F83493" w:rsidRPr="0028550A" w:rsidRDefault="00F83493" w:rsidP="00744A87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2025 году – </w:t>
            </w:r>
            <w:r w:rsidR="00082ED2" w:rsidRPr="0028550A">
              <w:rPr>
                <w:color w:val="000000" w:themeColor="text1"/>
              </w:rPr>
              <w:t>2 513 637,7</w:t>
            </w:r>
            <w:r w:rsidRPr="0028550A">
              <w:rPr>
                <w:color w:val="000000" w:themeColor="text1"/>
              </w:rPr>
              <w:t xml:space="preserve"> тыс. рублей;</w:t>
            </w:r>
          </w:p>
          <w:p w:rsidR="00F83493" w:rsidRPr="0028550A" w:rsidRDefault="00F83493" w:rsidP="00082ED2">
            <w:pPr>
              <w:pStyle w:val="ConsPlusNormal"/>
              <w:ind w:firstLine="283"/>
              <w:jc w:val="both"/>
              <w:rPr>
                <w:color w:val="000000" w:themeColor="text1"/>
              </w:rPr>
            </w:pPr>
            <w:r w:rsidRPr="0028550A">
              <w:rPr>
                <w:color w:val="000000" w:themeColor="text1"/>
              </w:rPr>
              <w:t xml:space="preserve">2026 - 2030 </w:t>
            </w:r>
            <w:proofErr w:type="gramStart"/>
            <w:r w:rsidRPr="0028550A">
              <w:rPr>
                <w:color w:val="000000" w:themeColor="text1"/>
              </w:rPr>
              <w:t>годах</w:t>
            </w:r>
            <w:proofErr w:type="gramEnd"/>
            <w:r w:rsidRPr="0028550A">
              <w:rPr>
                <w:color w:val="000000" w:themeColor="text1"/>
              </w:rPr>
              <w:t xml:space="preserve"> – </w:t>
            </w:r>
            <w:r w:rsidR="00082ED2" w:rsidRPr="0028550A">
              <w:rPr>
                <w:color w:val="000000" w:themeColor="text1"/>
              </w:rPr>
              <w:t>12 568 188,5</w:t>
            </w:r>
            <w:r w:rsidRPr="0028550A">
              <w:rPr>
                <w:color w:val="000000" w:themeColor="text1"/>
              </w:rPr>
              <w:t xml:space="preserve"> тыс. рублей</w:t>
            </w:r>
          </w:p>
        </w:tc>
      </w:tr>
    </w:tbl>
    <w:p w:rsidR="00F83493" w:rsidRDefault="00F83493" w:rsidP="00BA3F48">
      <w:pPr>
        <w:pStyle w:val="ConsPlusNormal"/>
        <w:jc w:val="both"/>
      </w:pPr>
    </w:p>
    <w:sectPr w:rsidR="00F83493" w:rsidSect="00BD0F10">
      <w:headerReference w:type="default" r:id="rId7"/>
      <w:pgSz w:w="11906" w:h="16838"/>
      <w:pgMar w:top="1134" w:right="850" w:bottom="1134" w:left="1701" w:header="708" w:footer="708" w:gutter="0"/>
      <w:pgNumType w:start="287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F10" w:rsidRDefault="00BD0F10" w:rsidP="00BD0F10">
      <w:pPr>
        <w:spacing w:after="0" w:line="240" w:lineRule="auto"/>
      </w:pPr>
      <w:r>
        <w:separator/>
      </w:r>
    </w:p>
  </w:endnote>
  <w:endnote w:type="continuationSeparator" w:id="0">
    <w:p w:rsidR="00BD0F10" w:rsidRDefault="00BD0F10" w:rsidP="00BD0F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F10" w:rsidRDefault="00BD0F10" w:rsidP="00BD0F10">
      <w:pPr>
        <w:spacing w:after="0" w:line="240" w:lineRule="auto"/>
      </w:pPr>
      <w:r>
        <w:separator/>
      </w:r>
    </w:p>
  </w:footnote>
  <w:footnote w:type="continuationSeparator" w:id="0">
    <w:p w:rsidR="00BD0F10" w:rsidRDefault="00BD0F10" w:rsidP="00BD0F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577516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0F10" w:rsidRPr="00BD0F10" w:rsidRDefault="00BD0F10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BD0F10">
          <w:rPr>
            <w:rFonts w:ascii="Times New Roman" w:hAnsi="Times New Roman"/>
            <w:sz w:val="24"/>
            <w:szCs w:val="24"/>
          </w:rPr>
          <w:fldChar w:fldCharType="begin"/>
        </w:r>
        <w:r w:rsidRPr="00BD0F1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D0F10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2876</w:t>
        </w:r>
        <w:r w:rsidRPr="00BD0F1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0F10" w:rsidRDefault="00BD0F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A44"/>
    <w:rsid w:val="00082ED2"/>
    <w:rsid w:val="0028550A"/>
    <w:rsid w:val="002E4B98"/>
    <w:rsid w:val="005C484F"/>
    <w:rsid w:val="006411CD"/>
    <w:rsid w:val="00A2317A"/>
    <w:rsid w:val="00B35A44"/>
    <w:rsid w:val="00BA3F48"/>
    <w:rsid w:val="00BD0F10"/>
    <w:rsid w:val="00F8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83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834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D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F10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D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F10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49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F834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834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BD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0F10"/>
    <w:rPr>
      <w:rFonts w:eastAsiaTheme="minorEastAsia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BD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0F10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Светлана Михайловна</dc:creator>
  <cp:keywords/>
  <dc:description/>
  <cp:lastModifiedBy>Шубная  Юлия  Петровна</cp:lastModifiedBy>
  <cp:revision>8</cp:revision>
  <dcterms:created xsi:type="dcterms:W3CDTF">2019-10-11T05:59:00Z</dcterms:created>
  <dcterms:modified xsi:type="dcterms:W3CDTF">2019-10-21T05:39:00Z</dcterms:modified>
</cp:coreProperties>
</file>